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E369D" w14:textId="77777777" w:rsidR="004D24B4" w:rsidRDefault="004D24B4" w:rsidP="004D24B4">
      <w:pPr>
        <w:shd w:val="clear" w:color="auto" w:fill="FFFFFF"/>
        <w:spacing w:before="90" w:after="90"/>
        <w:rPr>
          <w:rFonts w:ascii="Arial" w:hAnsi="Arial" w:cs="Arial"/>
          <w:color w:val="000000"/>
          <w:sz w:val="20"/>
          <w:szCs w:val="20"/>
          <w:lang w:eastAsia="tr-TR"/>
        </w:rPr>
      </w:pPr>
      <w:r>
        <w:rPr>
          <w:rFonts w:ascii="Arial" w:hAnsi="Arial" w:cs="Arial"/>
          <w:color w:val="000000"/>
          <w:sz w:val="20"/>
          <w:szCs w:val="20"/>
          <w:lang w:eastAsia="tr-TR"/>
        </w:rPr>
        <w:t xml:space="preserve">Değerli Üyemiz, </w:t>
      </w:r>
    </w:p>
    <w:p w14:paraId="1ED20BB0" w14:textId="77777777" w:rsidR="004D24B4" w:rsidRDefault="004D24B4" w:rsidP="004D24B4">
      <w:pPr>
        <w:shd w:val="clear" w:color="auto" w:fill="FFFFFF"/>
        <w:spacing w:before="90" w:after="90"/>
        <w:rPr>
          <w:rFonts w:ascii="Arial" w:hAnsi="Arial" w:cs="Arial"/>
          <w:color w:val="000000"/>
          <w:sz w:val="20"/>
          <w:szCs w:val="20"/>
          <w:lang w:eastAsia="tr-TR"/>
        </w:rPr>
      </w:pPr>
    </w:p>
    <w:p w14:paraId="7B1732EE" w14:textId="77777777" w:rsidR="004D24B4" w:rsidRDefault="004D24B4" w:rsidP="004D24B4">
      <w:pPr>
        <w:shd w:val="clear" w:color="auto" w:fill="FFFFFF"/>
        <w:spacing w:before="90" w:after="90"/>
        <w:rPr>
          <w:rFonts w:ascii="Arial" w:hAnsi="Arial" w:cs="Arial"/>
          <w:color w:val="000000"/>
          <w:sz w:val="20"/>
          <w:szCs w:val="20"/>
          <w:lang w:eastAsia="tr-TR"/>
        </w:rPr>
      </w:pPr>
      <w:r>
        <w:rPr>
          <w:rFonts w:ascii="Arial" w:hAnsi="Arial" w:cs="Arial"/>
          <w:color w:val="000000"/>
          <w:sz w:val="20"/>
          <w:szCs w:val="20"/>
          <w:lang w:eastAsia="tr-TR"/>
        </w:rPr>
        <w:t>Kamuyu Aydınlatma Platformu’nda (KAP) 06.05.2024 tarihi itibariyle,</w:t>
      </w:r>
    </w:p>
    <w:p w14:paraId="4409C60D" w14:textId="77777777" w:rsidR="004D24B4" w:rsidRDefault="004D24B4" w:rsidP="004D24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KAP BIY Programı Yardım/Kılavuzlar menüsüne Kâr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Payı Dağıtım İşlemlerine İlişkin Bildirim kılavuzu eklenmiştir. </w:t>
      </w:r>
    </w:p>
    <w:p w14:paraId="45FFC8A6" w14:textId="77777777" w:rsidR="004D24B4" w:rsidRDefault="004D24B4" w:rsidP="004D24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KAP bildirim şablonlarında aşağıda belirtilen geliştirmeler yapılmıştır: </w:t>
      </w:r>
    </w:p>
    <w:tbl>
      <w:tblPr>
        <w:tblW w:w="1431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888"/>
        <w:gridCol w:w="1768"/>
        <w:gridCol w:w="2268"/>
        <w:gridCol w:w="7938"/>
      </w:tblGrid>
      <w:tr w:rsidR="004D24B4" w14:paraId="78AB2B5E" w14:textId="77777777" w:rsidTr="00D44AF2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5FAD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1B62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Şablon Adı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4688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BIY’de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Yer Aldığı Üst Menünün Adı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C323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İlgili Mevzuat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CAFE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</w:t>
            </w:r>
          </w:p>
        </w:tc>
      </w:tr>
      <w:tr w:rsidR="004D24B4" w14:paraId="21EF29BC" w14:textId="77777777" w:rsidTr="00D44AF2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9EB9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0D6E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Ayrılma Hakkı Kullanımına İlişkin Bildirim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EFDA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kullanımı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758E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II-23.3 sayılı “Önemli Nitelikteki İşlemler ve Ayrılma Hakkı Tebliği”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B010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orunlu alan olarak “Ayrılma Hakkından Yararlanabilecek Pay Sahiplerinin ve Pay Tutarlarının Belirlenmesinde Esas Alınan Tarih” alanı eklenmiştir. </w:t>
            </w:r>
          </w:p>
        </w:tc>
      </w:tr>
      <w:tr w:rsidR="004D24B4" w14:paraId="44BEA492" w14:textId="77777777" w:rsidTr="00D44AF2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D58E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94A2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İhraç Tavanına İlişkin Bildirim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E1FE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kullanımı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B0A0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E4EF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Kira sertifikası ihraçlarına yönelik alınan ihraç tavanının bildirilmesinde giriş yapılmak üzere zorunlu alan olarak Fon Kullanıcısı alanı eklenmiştir.</w:t>
            </w:r>
          </w:p>
          <w:p w14:paraId="33E07393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İhraç Tavanı Türü alanına Yeşil/Sürdürülebilir Temalı Sermaye Piyasası Aracı seçeneği yerine Yeşil/Sürdürülebilir Temalı Sermaye Piyasası Aracı (Faiz İçeren) ve Yeşil/Sürdürülebilir Temalı Sermaye Piyasası Aracı (Faizsiz) alanları eklenmiştir.</w:t>
            </w:r>
          </w:p>
        </w:tc>
      </w:tr>
      <w:tr w:rsidR="004D24B4" w14:paraId="624EECE7" w14:textId="77777777" w:rsidTr="00D44AF2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4A88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26EA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Payların Geri Alınmasına İlişkin Bildirim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9AE1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kullanımı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623C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6FFD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Geri Alıma Konu Pay Miktarı alanın adı Geri Alıma Konu Pay Miktarı (Nominal TL) olarak,</w:t>
            </w:r>
          </w:p>
          <w:p w14:paraId="0C610EBC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Geri Alıma Konu Azami Pay Sayısı alanının adı Geri Alıma Konu Azami Pay Miktarı (Nominal TL) olarak,</w:t>
            </w:r>
          </w:p>
          <w:p w14:paraId="027F0344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Geri Alım İşleminin Tamamlanması tablosunda yer alan Geri Alınan Toplam Pay Sayısı başlığı Geri Alınan Toplam Pay Miktarı (Nominal TL) olarak, </w:t>
            </w:r>
          </w:p>
          <w:p w14:paraId="5DACE752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Geri Alım İşleminin Sona Ermesi tablosunda yer alan Geri Alınan Toplam Pay Sayısı başlığı Geri Alınan Toplam Pay Miktarı (Nominal TL) olarak</w:t>
            </w:r>
          </w:p>
          <w:p w14:paraId="4D3327A8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değiştirilmiş olup bu alanlara girilen değerlerin </w:t>
            </w:r>
            <w:proofErr w:type="gramStart"/>
            <w:r>
              <w:rPr>
                <w:sz w:val="20"/>
                <w:szCs w:val="20"/>
              </w:rPr>
              <w:t>nominal</w:t>
            </w:r>
            <w:proofErr w:type="gramEnd"/>
            <w:r>
              <w:rPr>
                <w:sz w:val="20"/>
                <w:szCs w:val="20"/>
              </w:rPr>
              <w:t xml:space="preserve"> TL cinsinden olması beklenmektedir.</w:t>
            </w:r>
          </w:p>
          <w:p w14:paraId="3E8533F8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Ekranda yer alan tablolarda sadece işlem gören payların seçilebilmesine yönelik değişiklik yapılmıştır.</w:t>
            </w:r>
          </w:p>
          <w:p w14:paraId="17278611" w14:textId="77777777" w:rsidR="004D24B4" w:rsidRDefault="004D24B4">
            <w:pPr>
              <w:shd w:val="clear" w:color="auto" w:fill="FFFFFF"/>
              <w:spacing w:before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Geri Alım Yapılması Planlanan Dönem ve Geri Alım İşlemlerinin Detayları tablolarında Sermaye Oranı (%) hücrelerinde yer alan değerlerin otomatik hesaplamasına yönelik değişiklik yapılmıştır.</w:t>
            </w:r>
          </w:p>
        </w:tc>
      </w:tr>
      <w:tr w:rsidR="00D44AF2" w14:paraId="4A169C42" w14:textId="77777777" w:rsidTr="00D44AF2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27125" w14:textId="77777777" w:rsidR="00D44AF2" w:rsidRDefault="00D44AF2" w:rsidP="00482162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No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7043" w14:textId="77777777" w:rsidR="00D44AF2" w:rsidRDefault="00D44AF2" w:rsidP="00482162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Şablon Adı 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6951" w14:textId="77777777" w:rsidR="00D44AF2" w:rsidRDefault="00D44AF2" w:rsidP="00482162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BIY’de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Yer Aldığı Üst Menünün Adı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445C" w14:textId="77777777" w:rsidR="00D44AF2" w:rsidRDefault="00D44AF2" w:rsidP="00482162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İlgili Mevzuat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41AF" w14:textId="77777777" w:rsidR="00D44AF2" w:rsidRDefault="00D44AF2" w:rsidP="00482162">
            <w:pPr>
              <w:pStyle w:val="ListeParagraf"/>
              <w:spacing w:before="120" w:after="12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Açıklama</w:t>
            </w:r>
            <w:bookmarkStart w:id="0" w:name="_GoBack"/>
            <w:bookmarkEnd w:id="0"/>
          </w:p>
        </w:tc>
      </w:tr>
      <w:tr w:rsidR="004D24B4" w14:paraId="23964BE2" w14:textId="77777777" w:rsidTr="00D44AF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32A3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A4D17" w14:textId="77777777" w:rsidR="004D24B4" w:rsidRDefault="004D24B4">
            <w:pPr>
              <w:pStyle w:val="ListeParagraf"/>
              <w:spacing w:before="120" w:after="120"/>
              <w:ind w:left="0"/>
              <w:jc w:val="both"/>
            </w:pPr>
            <w:r>
              <w:rPr>
                <w:sz w:val="20"/>
                <w:szCs w:val="20"/>
              </w:rPr>
              <w:t>Kâr</w:t>
            </w:r>
            <w:r w:rsidRPr="00D44AF2">
              <w:rPr>
                <w:sz w:val="20"/>
                <w:szCs w:val="20"/>
              </w:rPr>
              <w:t xml:space="preserve"> Payı Dağıtım İşlemlerine İlişkin Bildirim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35D5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kullanımı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1B5A" w14:textId="77777777" w:rsidR="004D24B4" w:rsidRDefault="004D24B4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7FF9E" w14:textId="77777777" w:rsidR="004D24B4" w:rsidRDefault="004D24B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Hata uyarı ekranlarında yer alan metinlerde iyileştirmeler yapılmıştır.</w:t>
            </w:r>
          </w:p>
        </w:tc>
      </w:tr>
      <w:tr w:rsidR="00D44AF2" w14:paraId="2DDB69C4" w14:textId="77777777" w:rsidTr="00D44AF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3333" w14:textId="63BADBEB" w:rsidR="00D44AF2" w:rsidRDefault="00D44AF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FFC0" w14:textId="7F52B281" w:rsidR="00D44AF2" w:rsidRDefault="00D44AF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 w:rsidRPr="00D44AF2">
              <w:rPr>
                <w:sz w:val="20"/>
                <w:szCs w:val="20"/>
              </w:rPr>
              <w:t xml:space="preserve">Performans Ücreti </w:t>
            </w:r>
            <w:r>
              <w:rPr>
                <w:sz w:val="20"/>
                <w:szCs w:val="20"/>
              </w:rPr>
              <w:t xml:space="preserve">Hesaplama </w:t>
            </w:r>
            <w:r w:rsidRPr="00D44AF2">
              <w:rPr>
                <w:sz w:val="20"/>
                <w:szCs w:val="20"/>
              </w:rPr>
              <w:t>Esasları</w:t>
            </w:r>
            <w:r>
              <w:rPr>
                <w:sz w:val="20"/>
                <w:szCs w:val="20"/>
              </w:rPr>
              <w:t xml:space="preserve"> ve Örnekleri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2285" w14:textId="6549245F" w:rsidR="00D44AF2" w:rsidRDefault="00D44AF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 Sürekli Bilgi Formu Gönderimi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23E2" w14:textId="2E6D5DA3" w:rsidR="00D44AF2" w:rsidRDefault="00D44AF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SPK Düzenlemesi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6586" w14:textId="77777777" w:rsidR="008A69A2" w:rsidRDefault="00D44AF2" w:rsidP="00D44AF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Yatırım fonlarında (Korumalı-garantili fonlar dışındaki fonlarda) </w:t>
            </w:r>
            <w:r w:rsidRPr="00D44AF2">
              <w:rPr>
                <w:b/>
                <w:bCs/>
                <w:sz w:val="20"/>
                <w:szCs w:val="20"/>
              </w:rPr>
              <w:t xml:space="preserve">“Performans Ücreti Hesaplama Esasları ve Örnekleri” </w:t>
            </w:r>
            <w:r>
              <w:rPr>
                <w:sz w:val="20"/>
                <w:szCs w:val="20"/>
              </w:rPr>
              <w:t xml:space="preserve">konulu yeni bir şablon hazırlanmıştır. </w:t>
            </w:r>
            <w:r w:rsidR="008A69A2">
              <w:rPr>
                <w:sz w:val="20"/>
                <w:szCs w:val="20"/>
              </w:rPr>
              <w:t xml:space="preserve"> Performans ücreti hesaplamasına ilişkin esaslar ve örnekler ilgili şablona </w:t>
            </w:r>
            <w:proofErr w:type="spellStart"/>
            <w:r w:rsidR="008A69A2">
              <w:rPr>
                <w:sz w:val="20"/>
                <w:szCs w:val="20"/>
              </w:rPr>
              <w:t>pdf</w:t>
            </w:r>
            <w:proofErr w:type="spellEnd"/>
            <w:r w:rsidR="008A69A2">
              <w:rPr>
                <w:sz w:val="20"/>
                <w:szCs w:val="20"/>
              </w:rPr>
              <w:t xml:space="preserve"> ek dosya olarak eklenerek </w:t>
            </w:r>
            <w:proofErr w:type="spellStart"/>
            <w:r w:rsidR="008A69A2">
              <w:rPr>
                <w:sz w:val="20"/>
                <w:szCs w:val="20"/>
              </w:rPr>
              <w:t>KAP’ta</w:t>
            </w:r>
            <w:proofErr w:type="spellEnd"/>
            <w:r w:rsidR="008A69A2">
              <w:rPr>
                <w:sz w:val="20"/>
                <w:szCs w:val="20"/>
              </w:rPr>
              <w:t xml:space="preserve"> duyurulacaktır. </w:t>
            </w:r>
          </w:p>
          <w:p w14:paraId="1F620DAA" w14:textId="77777777" w:rsidR="00D44AF2" w:rsidRDefault="00D44AF2" w:rsidP="00D44AF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 şablondan gönderilecek bildirimler KAP internet sitesinde Fon Sürekli Bilgi </w:t>
            </w:r>
            <w:proofErr w:type="spellStart"/>
            <w:r>
              <w:rPr>
                <w:sz w:val="20"/>
                <w:szCs w:val="20"/>
              </w:rPr>
              <w:t>Formu’na</w:t>
            </w:r>
            <w:proofErr w:type="spellEnd"/>
            <w:r>
              <w:rPr>
                <w:sz w:val="20"/>
                <w:szCs w:val="20"/>
              </w:rPr>
              <w:t xml:space="preserve"> eklenen “Performans Ücreti Esasları” butonu tıklandığında listelenecektir. </w:t>
            </w:r>
          </w:p>
          <w:p w14:paraId="228A473B" w14:textId="0D52903D" w:rsidR="00D350EA" w:rsidRPr="00D350EA" w:rsidRDefault="00D350EA" w:rsidP="00D44AF2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D350EA">
              <w:rPr>
                <w:b/>
                <w:bCs/>
                <w:sz w:val="20"/>
                <w:szCs w:val="20"/>
              </w:rPr>
              <w:t xml:space="preserve">Korumalı-garantili fonların bu bildirim göndermelerine gerek bulunmamaktadır. </w:t>
            </w:r>
          </w:p>
        </w:tc>
      </w:tr>
      <w:tr w:rsidR="00D44AF2" w14:paraId="39016DC5" w14:textId="77777777" w:rsidTr="00D44AF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DDB1" w14:textId="06DCEAD9" w:rsidR="00D44AF2" w:rsidRDefault="00D44AF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8A32" w14:textId="6E101A37" w:rsidR="00D44AF2" w:rsidRPr="00D44AF2" w:rsidRDefault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 Sürekli Bilgi Formu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712A" w14:textId="4B1E5D78" w:rsidR="00D44AF2" w:rsidRDefault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 Sürekli Bilgi Formu Gönderimi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194B" w14:textId="7D4DD392" w:rsidR="00D44AF2" w:rsidRDefault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SPK Düzenlemesi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4590" w14:textId="362C145E" w:rsidR="008A69A2" w:rsidRDefault="008A69A2" w:rsidP="00D44AF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Yatırım fonlarında </w:t>
            </w:r>
            <w:r w:rsidRPr="00D350EA">
              <w:rPr>
                <w:sz w:val="20"/>
                <w:szCs w:val="20"/>
                <w:u w:val="single"/>
              </w:rPr>
              <w:t>(Korumalı-garantili fonlar dışındaki fonlarda)</w:t>
            </w:r>
            <w:r>
              <w:rPr>
                <w:sz w:val="20"/>
                <w:szCs w:val="20"/>
              </w:rPr>
              <w:t xml:space="preserve"> Fon Sürekli Bilgi Formuna </w:t>
            </w:r>
            <w:r w:rsidRPr="008A69A2">
              <w:rPr>
                <w:b/>
                <w:bCs/>
                <w:sz w:val="20"/>
                <w:szCs w:val="20"/>
              </w:rPr>
              <w:t xml:space="preserve">“Karşılaştırma </w:t>
            </w:r>
            <w:proofErr w:type="spellStart"/>
            <w:r w:rsidRPr="008A69A2">
              <w:rPr>
                <w:b/>
                <w:bCs/>
                <w:sz w:val="20"/>
                <w:szCs w:val="20"/>
              </w:rPr>
              <w:t>Ölçütü</w:t>
            </w:r>
            <w:r>
              <w:rPr>
                <w:sz w:val="20"/>
                <w:szCs w:val="20"/>
              </w:rPr>
              <w:t>”nün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yanısıra</w:t>
            </w:r>
            <w:proofErr w:type="spellEnd"/>
            <w:r>
              <w:rPr>
                <w:sz w:val="20"/>
                <w:szCs w:val="20"/>
              </w:rPr>
              <w:t xml:space="preserve"> alternatifli olarak gönderilmek üzere </w:t>
            </w:r>
            <w:r w:rsidRPr="008A69A2">
              <w:rPr>
                <w:b/>
                <w:bCs/>
                <w:sz w:val="20"/>
                <w:szCs w:val="20"/>
              </w:rPr>
              <w:t>“Eşik Değer”</w:t>
            </w:r>
            <w:r>
              <w:rPr>
                <w:sz w:val="20"/>
                <w:szCs w:val="20"/>
              </w:rPr>
              <w:t xml:space="preserve"> tablosu eklenmiştir. Karşılaştırma ölçütü tablosunda son sütunun başlığı “</w:t>
            </w:r>
            <w:r w:rsidRPr="008A69A2">
              <w:rPr>
                <w:sz w:val="20"/>
                <w:szCs w:val="20"/>
              </w:rPr>
              <w:t xml:space="preserve">Ölçütün Belirlenmesine </w:t>
            </w:r>
            <w:proofErr w:type="spellStart"/>
            <w:r w:rsidRPr="008A69A2">
              <w:rPr>
                <w:sz w:val="20"/>
                <w:szCs w:val="20"/>
              </w:rPr>
              <w:t>İlişk</w:t>
            </w:r>
            <w:proofErr w:type="spellEnd"/>
            <w:r w:rsidRPr="008A69A2">
              <w:rPr>
                <w:sz w:val="20"/>
                <w:szCs w:val="20"/>
              </w:rPr>
              <w:t>. Yönetim Kurulu Karar Tar. ve Say.” olarak güncellenmiştir.</w:t>
            </w:r>
            <w:r>
              <w:rPr>
                <w:rFonts w:ascii="-apple-system" w:hAnsi="-apple-system"/>
                <w:b/>
                <w:bCs/>
                <w:color w:val="172B4D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8A69A2" w14:paraId="7675B23B" w14:textId="77777777" w:rsidTr="00D44AF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C2F4" w14:textId="1C438875" w:rsidR="008A69A2" w:rsidRDefault="008A69A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EE38" w14:textId="11507FB8" w:rsidR="008A69A2" w:rsidRDefault="008A69A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 Sürekli Bilgi Formu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C38B" w14:textId="58407575" w:rsidR="008A69A2" w:rsidRDefault="008A69A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 Sürekli Bilgi Formu Gönderimi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863B" w14:textId="3BE6EB83" w:rsidR="008A69A2" w:rsidRDefault="008A69A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SPK Düzenlemesi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845C" w14:textId="6B755AFA" w:rsidR="008A69A2" w:rsidRDefault="008A69A2" w:rsidP="008A69A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Yatırım fonlarında </w:t>
            </w:r>
            <w:r w:rsidRPr="00D350EA">
              <w:rPr>
                <w:sz w:val="20"/>
                <w:szCs w:val="20"/>
                <w:u w:val="single"/>
              </w:rPr>
              <w:t>(Korumalı-garantili fonlar dışındaki fonlarda)</w:t>
            </w:r>
            <w:r>
              <w:rPr>
                <w:sz w:val="20"/>
                <w:szCs w:val="20"/>
              </w:rPr>
              <w:t xml:space="preserve"> Fon Sürekli Bilgi Formuna, </w:t>
            </w:r>
            <w:r w:rsidRPr="008A69A2">
              <w:rPr>
                <w:b/>
                <w:bCs/>
                <w:sz w:val="20"/>
                <w:szCs w:val="20"/>
              </w:rPr>
              <w:t>“Fonda Oluşan K</w:t>
            </w:r>
            <w:r w:rsidR="002A3526" w:rsidRPr="002A3526">
              <w:rPr>
                <w:b/>
                <w:sz w:val="20"/>
                <w:szCs w:val="20"/>
              </w:rPr>
              <w:t>â</w:t>
            </w:r>
            <w:r w:rsidRPr="008A69A2">
              <w:rPr>
                <w:b/>
                <w:bCs/>
                <w:sz w:val="20"/>
                <w:szCs w:val="20"/>
              </w:rPr>
              <w:t xml:space="preserve">rın Dağıtım Esasları” </w:t>
            </w:r>
            <w:r>
              <w:rPr>
                <w:sz w:val="20"/>
                <w:szCs w:val="20"/>
              </w:rPr>
              <w:t xml:space="preserve">ve </w:t>
            </w:r>
            <w:r w:rsidRPr="008A69A2">
              <w:rPr>
                <w:b/>
                <w:bCs/>
                <w:sz w:val="20"/>
                <w:szCs w:val="20"/>
              </w:rPr>
              <w:t>“Fona İlişkin Kamuyu Aydınlatma Esasları”</w:t>
            </w:r>
            <w:r>
              <w:rPr>
                <w:sz w:val="20"/>
                <w:szCs w:val="20"/>
              </w:rPr>
              <w:t xml:space="preserve"> alanları eklenmiştir. </w:t>
            </w:r>
          </w:p>
        </w:tc>
      </w:tr>
      <w:tr w:rsidR="004A0652" w14:paraId="34E6EDD5" w14:textId="77777777" w:rsidTr="00D44AF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BD2C" w14:textId="1A3EE6C3" w:rsidR="004A0652" w:rsidRDefault="004A065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25C4" w14:textId="42A10413" w:rsidR="004A0652" w:rsidRDefault="004A065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 w:rsidRPr="004A0652">
              <w:rPr>
                <w:sz w:val="20"/>
                <w:szCs w:val="20"/>
              </w:rPr>
              <w:t>Sorumlu Yönetim İlkelerine İ</w:t>
            </w:r>
            <w:r>
              <w:rPr>
                <w:sz w:val="20"/>
                <w:szCs w:val="20"/>
              </w:rPr>
              <w:t>l</w:t>
            </w:r>
            <w:r w:rsidRPr="004A0652">
              <w:rPr>
                <w:sz w:val="20"/>
                <w:szCs w:val="20"/>
              </w:rPr>
              <w:t>işkin Bildirim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8F72" w14:textId="33FB0FAE" w:rsidR="004A0652" w:rsidRDefault="004A065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Özel Durum Açıklaması Gönderimi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C794" w14:textId="74E36604" w:rsidR="004A0652" w:rsidRDefault="004A0652" w:rsidP="008A69A2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SPK Düzenlemesi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5753" w14:textId="6116D029" w:rsidR="004A0652" w:rsidRDefault="004A0652" w:rsidP="008A69A2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Portföy Yönetim Şirketlerinin kullanımı için </w:t>
            </w:r>
            <w:r w:rsidRPr="004A0652">
              <w:rPr>
                <w:b/>
                <w:bCs/>
                <w:sz w:val="20"/>
                <w:szCs w:val="20"/>
              </w:rPr>
              <w:t>“Sorumlu Yönetim İlkelerine İlişkin Bildirim”</w:t>
            </w:r>
            <w:r>
              <w:rPr>
                <w:sz w:val="20"/>
                <w:szCs w:val="20"/>
              </w:rPr>
              <w:t xml:space="preserve"> şablonu hazırlanmıştır. Bu şablondan gönderilen bildirimler portföy yönetim şirketinin KAP internet sitesindeki genel bilgi formu sayfasında </w:t>
            </w:r>
            <w:r w:rsidRPr="004A0652">
              <w:rPr>
                <w:b/>
                <w:bCs/>
                <w:sz w:val="20"/>
                <w:szCs w:val="20"/>
              </w:rPr>
              <w:t>“Sorumlu Yönetim İlkeleri”</w:t>
            </w:r>
            <w:r>
              <w:rPr>
                <w:sz w:val="20"/>
                <w:szCs w:val="20"/>
              </w:rPr>
              <w:t xml:space="preserve"> alanı tıklandığında listelenecektir.</w:t>
            </w:r>
            <w:r w:rsidR="00FA48C5">
              <w:rPr>
                <w:sz w:val="20"/>
                <w:szCs w:val="20"/>
              </w:rPr>
              <w:t xml:space="preserve"> </w:t>
            </w:r>
          </w:p>
        </w:tc>
      </w:tr>
    </w:tbl>
    <w:p w14:paraId="57E9DDC3" w14:textId="77777777" w:rsidR="004D24B4" w:rsidRDefault="004D24B4" w:rsidP="004D24B4"/>
    <w:p w14:paraId="41ED78AD" w14:textId="77777777" w:rsidR="00F2425C" w:rsidRDefault="00F2425C"/>
    <w:sectPr w:rsidR="00F2425C" w:rsidSect="00D44AF2">
      <w:footerReference w:type="even" r:id="rId8"/>
      <w:footerReference w:type="default" r:id="rId9"/>
      <w:footerReference w:type="first" r:id="rId10"/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633CA" w14:textId="77777777" w:rsidR="00B96FC3" w:rsidRDefault="00B96FC3" w:rsidP="004D24B4">
      <w:r>
        <w:separator/>
      </w:r>
    </w:p>
  </w:endnote>
  <w:endnote w:type="continuationSeparator" w:id="0">
    <w:p w14:paraId="3A04C124" w14:textId="77777777" w:rsidR="00B96FC3" w:rsidRDefault="00B96FC3" w:rsidP="004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-apple-system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TBClassification"/>
      <w:id w:val="-844933463"/>
      <w:lock w:val="sdtContentLocked"/>
      <w:placeholder>
        <w:docPart w:val="DefaultPlaceholder_-1854013440"/>
      </w:placeholder>
    </w:sdtPr>
    <w:sdtEndPr/>
    <w:sdtContent>
      <w:p w14:paraId="17B7701E" w14:textId="77777777" w:rsidR="004D24B4" w:rsidRDefault="004D24B4" w:rsidP="004D24B4">
        <w:pPr>
          <w:pStyle w:val="AltBilgi"/>
        </w:pPr>
        <w:r w:rsidRPr="004D24B4">
          <w:rPr>
            <w:rFonts w:ascii="Arial" w:hAnsi="Arial" w:cs="Arial"/>
            <w:b/>
            <w:color w:val="000000"/>
            <w:sz w:val="24"/>
          </w:rPr>
          <w:t>Sınıflandırma:</w:t>
        </w:r>
        <w:r w:rsidRPr="004D24B4">
          <w:rPr>
            <w:rFonts w:ascii="Arial" w:hAnsi="Arial" w:cs="Arial"/>
            <w:color w:val="000000"/>
            <w:sz w:val="24"/>
          </w:rPr>
          <w:t xml:space="preserve"> </w:t>
        </w:r>
        <w:r w:rsidRPr="004D24B4">
          <w:rPr>
            <w:rFonts w:ascii="Arial" w:hAnsi="Arial" w:cs="Arial"/>
            <w:b/>
            <w:color w:val="FF0000"/>
            <w:sz w:val="24"/>
          </w:rPr>
          <w:t>Hizmete Ozel/Restricted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TBClassification"/>
      <w:id w:val="1676457276"/>
      <w:lock w:val="sdtContentLocked"/>
      <w:placeholder>
        <w:docPart w:val="DefaultPlaceholder_-1854013440"/>
      </w:placeholder>
    </w:sdtPr>
    <w:sdtEndPr/>
    <w:sdtContent>
      <w:p w14:paraId="1E85401F" w14:textId="77777777" w:rsidR="004D24B4" w:rsidRDefault="004D24B4" w:rsidP="004D24B4">
        <w:pPr>
          <w:pStyle w:val="AltBilgi"/>
        </w:pPr>
        <w:r w:rsidRPr="004D24B4">
          <w:rPr>
            <w:rFonts w:ascii="Arial" w:hAnsi="Arial" w:cs="Arial"/>
            <w:b/>
            <w:color w:val="000000"/>
            <w:sz w:val="24"/>
          </w:rPr>
          <w:t>Sınıflandırma:</w:t>
        </w:r>
        <w:r w:rsidRPr="004D24B4">
          <w:rPr>
            <w:rFonts w:ascii="Arial" w:hAnsi="Arial" w:cs="Arial"/>
            <w:color w:val="000000"/>
            <w:sz w:val="24"/>
          </w:rPr>
          <w:t xml:space="preserve"> </w:t>
        </w:r>
        <w:r w:rsidRPr="004D24B4">
          <w:rPr>
            <w:rFonts w:ascii="Arial" w:hAnsi="Arial" w:cs="Arial"/>
            <w:b/>
            <w:color w:val="FF0000"/>
            <w:sz w:val="24"/>
          </w:rPr>
          <w:t>Hizmete Ozel/Restricted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TBClassification"/>
      <w:id w:val="-688141797"/>
      <w:lock w:val="sdtContentLocked"/>
      <w:placeholder>
        <w:docPart w:val="DefaultPlaceholder_-1854013440"/>
      </w:placeholder>
    </w:sdtPr>
    <w:sdtEndPr/>
    <w:sdtContent>
      <w:p w14:paraId="41242B7F" w14:textId="77777777" w:rsidR="004D24B4" w:rsidRDefault="004D24B4" w:rsidP="004D24B4">
        <w:pPr>
          <w:pStyle w:val="AltBilgi"/>
        </w:pPr>
        <w:r w:rsidRPr="004D24B4">
          <w:rPr>
            <w:rFonts w:ascii="Arial" w:hAnsi="Arial" w:cs="Arial"/>
            <w:b/>
            <w:color w:val="000000"/>
            <w:sz w:val="24"/>
          </w:rPr>
          <w:t>Sınıflandırma:</w:t>
        </w:r>
        <w:r w:rsidRPr="004D24B4">
          <w:rPr>
            <w:rFonts w:ascii="Arial" w:hAnsi="Arial" w:cs="Arial"/>
            <w:color w:val="000000"/>
            <w:sz w:val="24"/>
          </w:rPr>
          <w:t xml:space="preserve"> </w:t>
        </w:r>
        <w:r w:rsidRPr="004D24B4">
          <w:rPr>
            <w:rFonts w:ascii="Arial" w:hAnsi="Arial" w:cs="Arial"/>
            <w:b/>
            <w:color w:val="FF0000"/>
            <w:sz w:val="24"/>
          </w:rPr>
          <w:t>Hizmete Ozel/Restricted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AF54" w14:textId="77777777" w:rsidR="00B96FC3" w:rsidRDefault="00B96FC3" w:rsidP="004D24B4">
      <w:r>
        <w:separator/>
      </w:r>
    </w:p>
  </w:footnote>
  <w:footnote w:type="continuationSeparator" w:id="0">
    <w:p w14:paraId="0D1101E8" w14:textId="77777777" w:rsidR="00B96FC3" w:rsidRDefault="00B96FC3" w:rsidP="004D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700"/>
    <w:multiLevelType w:val="multilevel"/>
    <w:tmpl w:val="8C1E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4"/>
    <w:rsid w:val="002A3526"/>
    <w:rsid w:val="004A0652"/>
    <w:rsid w:val="004D24B4"/>
    <w:rsid w:val="006B3FB3"/>
    <w:rsid w:val="008A69A2"/>
    <w:rsid w:val="00B96FC3"/>
    <w:rsid w:val="00D350EA"/>
    <w:rsid w:val="00D44AF2"/>
    <w:rsid w:val="00F2425C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4925"/>
  <w15:chartTrackingRefBased/>
  <w15:docId w15:val="{815FBD3F-B85B-4EF4-BE43-7BDF869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4B4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24B4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4D24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24B4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4D24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D24B4"/>
    <w:rPr>
      <w:rFonts w:ascii="Calibri" w:hAnsi="Calibri" w:cs="Calibri"/>
    </w:rPr>
  </w:style>
  <w:style w:type="character" w:styleId="YerTutucuMetni">
    <w:name w:val="Placeholder Text"/>
    <w:basedOn w:val="VarsaylanParagrafYazTipi"/>
    <w:uiPriority w:val="99"/>
    <w:semiHidden/>
    <w:rsid w:val="004D24B4"/>
    <w:rPr>
      <w:color w:val="808080"/>
    </w:rPr>
  </w:style>
  <w:style w:type="character" w:styleId="Gl">
    <w:name w:val="Strong"/>
    <w:basedOn w:val="VarsaylanParagrafYazTipi"/>
    <w:uiPriority w:val="22"/>
    <w:qFormat/>
    <w:rsid w:val="00D44A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9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89F29A-7FA7-466F-BA4D-47ECAB6EC9D1}"/>
      </w:docPartPr>
      <w:docPartBody>
        <w:p w:rsidR="002042B0" w:rsidRDefault="00183503">
          <w:r w:rsidRPr="00903CB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-apple-system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03"/>
    <w:rsid w:val="00183503"/>
    <w:rsid w:val="002042B0"/>
    <w:rsid w:val="007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835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Hizmete Ozel/Restricted</attrValue>
  <customPropName>Gizlilik Derecesi</customPropName>
  <timestamp>2.05.2024 16:43:20</timestamp>
  <userName>MKK\ikizilkaya</userName>
  <computerName>MKKNB11059.MKK.COM.TR</computerName>
  <guid>{e370ade0-f92f-4f1f-8ad0-5ce83fe645b7}</guid>
  <ftr>
    <r>
      <fontName>arial</fontName>
      <fontColor>000000</fontColor>
      <fontSize>12</fontSize>
      <b/>
      <text xml:space="preserve">Sınıflandırma:</text>
    </r>
    <r>
      <fontName>arial</fontName>
      <fontColor>000000</fontColor>
      <fontSize>12</fontSize>
      <text xml:space="preserve"> </text>
    </r>
    <r>
      <fontName>arial</fontName>
      <fontColor>FF0000</fontColor>
      <fontSize>12</fontSize>
      <b/>
      <text xml:space="preserve">Hizmete Ozel/Restricted</text>
    </r>
  </ftr>
</GTBClassification>
</file>

<file path=customXml/itemProps1.xml><?xml version="1.0" encoding="utf-8"?>
<ds:datastoreItem xmlns:ds="http://schemas.openxmlformats.org/officeDocument/2006/customXml" ds:itemID="{8D693EC0-3343-469E-95A5-B4AB4F3D9C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Kızılkaya</dc:creator>
  <cp:keywords>ClassificationData:&lt;Gizlilik Derecesi:Hizmete Ozel/Restricted&gt;</cp:keywords>
  <dc:description/>
  <cp:lastModifiedBy>İlker Kızılkaya</cp:lastModifiedBy>
  <cp:revision>2</cp:revision>
  <dcterms:created xsi:type="dcterms:W3CDTF">2024-05-06T06:18:00Z</dcterms:created>
  <dcterms:modified xsi:type="dcterms:W3CDTF">2024-05-06T06:18:00Z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izlilik Derecesi">
    <vt:lpwstr>Hizmete Ozel/Restricted</vt:lpwstr>
  </property>
  <property fmtid="{D5CDD505-2E9C-101B-9397-08002B2CF9AE}" pid="3" name="ClassifiedBy">
    <vt:lpwstr>MKK\ikizilkaya</vt:lpwstr>
  </property>
  <property fmtid="{D5CDD505-2E9C-101B-9397-08002B2CF9AE}" pid="4" name="ClassificationHost">
    <vt:lpwstr>MKKNB11059.MKK.COM.TR</vt:lpwstr>
  </property>
  <property fmtid="{D5CDD505-2E9C-101B-9397-08002B2CF9AE}" pid="5" name="ClassificationDate">
    <vt:lpwstr>2.05.2024 16:43:20</vt:lpwstr>
  </property>
  <property fmtid="{D5CDD505-2E9C-101B-9397-08002B2CF9AE}" pid="6" name="ClassificationGUID">
    <vt:lpwstr>{e370ade0-f92f-4f1f-8ad0-5ce83fe645b7}</vt:lpwstr>
  </property>
</Properties>
</file>